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15.png" ContentType="image/png"/>
  <Override PartName="/word/media/rId210.png" ContentType="image/png"/>
  <Override PartName="/word/media/rId212.png" ContentType="image/png"/>
  <Override PartName="/word/media/rId219.jpg" ContentType="image/jpeg"/>
  <Override PartName="/word/media/rId175.jpg" ContentType="image/jpeg"/>
  <Override PartName="/word/media/rId184.png" ContentType="image/png"/>
  <Override PartName="/word/media/rId245.jpg" ContentType="image/jpeg"/>
  <Override PartName="/word/media/rId274.png" ContentType="image/png"/>
  <Override PartName="/word/media/rId259.jpg" ContentType="image/jpeg"/>
  <Override PartName="/word/media/rId256.jpg" ContentType="image/jpeg"/>
  <Override PartName="/word/media/rId265.jpg" ContentType="image/jpeg"/>
  <Override PartName="/word/media/rId262.jpg" ContentType="image/jpeg"/>
  <Override PartName="/word/media/rId249.jpg" ContentType="image/jpeg"/>
  <Override PartName="/word/media/rId268.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25.png" ContentType="image/png"/>
  <Override PartName="/word/media/rId226.png" ContentType="image/png"/>
  <Override PartName="/word/media/rId228.png" ContentType="image/png"/>
  <Override PartName="/word/media/rId229.png" ContentType="image/png"/>
  <Override PartName="/word/media/rId234.png" ContentType="image/png"/>
  <Override PartName="/word/media/rId235.png" ContentType="image/png"/>
  <Override PartName="/word/media/rId238.png" ContentType="image/png"/>
  <Override PartName="/word/media/rId239.png" ContentType="image/png"/>
  <Override PartName="/word/media/rId2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4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0.56</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4" w:name="top-gst-hits"/>
    <w:p>
      <w:pPr>
        <w:pStyle w:val="Heading2"/>
      </w:pPr>
      <w:r>
        <w:rPr>
          <w:rStyle w:val="SectionNumber"/>
        </w:rPr>
        <w:t xml:space="preserve">5.13</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208">
        <w:r>
          <w:rPr>
            <w:rStyle w:val="Hyperlink"/>
          </w:rPr>
          <w:t xml:space="preserve">GGV browser</w:t>
        </w:r>
      </w:hyperlink>
      <w:r>
        <w:t xml:space="preserve"> </w:t>
      </w:r>
      <w:r>
        <w:t xml:space="preserve">to look at this variant’s distribution of allele frequencies in 1000 Genomes.</w:t>
      </w:r>
    </w:p>
    <w:p>
      <w:pPr>
        <w:pStyle w:val="BodyText"/>
      </w:pPr>
      <w:r>
        <w:t xml:space="preserve">First, because the variants in our VCF were called on the</w:t>
      </w:r>
      <w:r>
        <w:t xml:space="preserve"> </w:t>
      </w:r>
      <w:r>
        <w:rPr>
          <w:bCs/>
          <w:b/>
        </w:rPr>
        <w:t xml:space="preserve">hg38</w:t>
      </w:r>
      <w:r>
        <w:t xml:space="preserve"> </w:t>
      </w:r>
      <w:r>
        <w:t xml:space="preserve">genome assembly and the GGV browser uses</w:t>
      </w:r>
      <w:r>
        <w:t xml:space="preserve"> </w:t>
      </w:r>
      <w:r>
        <w:rPr>
          <w:bCs/>
          <w:b/>
        </w:rPr>
        <w:t xml:space="preserve">hg19</w:t>
      </w:r>
      <w:r>
        <w:t xml:space="preserve"> </w:t>
      </w:r>
      <w:r>
        <w:t xml:space="preserve">(the previous assembly), we need to</w:t>
      </w:r>
      <w:r>
        <w:t xml:space="preserve"> </w:t>
      </w:r>
      <w:r>
        <w:rPr>
          <w:bCs/>
          <w:b/>
        </w:rPr>
        <w:t xml:space="preserve">lift over</w:t>
      </w:r>
      <w:r>
        <w:t xml:space="preserve"> </w:t>
      </w:r>
      <w:r>
        <w:t xml:space="preserve">the variant coordinates to hg19.</w:t>
      </w:r>
    </w:p>
    <w:p>
      <w:r>
        <w:pict>
          <v:rect style="width:0;height:1.5pt" o:hralign="center" o:hrstd="t" o:hr="t"/>
        </w:pict>
      </w:r>
    </w:p>
    <w:p>
      <w:pPr>
        <w:pStyle w:val="FirstParagraph"/>
      </w:pPr>
      <w:r>
        <w:t xml:space="preserve">What is liftover?</w:t>
      </w:r>
    </w:p>
    <w:p>
      <w:pPr>
        <w:pStyle w:val="BodyText"/>
      </w:pPr>
      <w:r>
        <w:rPr>
          <w:bCs/>
          <w:b/>
        </w:rPr>
        <w:t xml:space="preserve">Liftover</w:t>
      </w:r>
      <w:r>
        <w:t xml:space="preserve"> </w:t>
      </w:r>
      <w:r>
        <w:t xml:space="preserve">converts genomic coordinates from one genome assembly to another. This can be used to move between different versions of the same genome (ex: hg38 -&gt; hg19), or even to move between assemblies for closely related species (ex: human to chimpanzee).</w:t>
      </w:r>
    </w:p>
    <w:p>
      <w:r>
        <w:pict>
          <v:rect style="width:0;height:1.5pt" o:hralign="center" o:hrstd="t" o:hr="t"/>
        </w:pict>
      </w:r>
    </w:p>
    <w:p>
      <w:pPr>
        <w:pStyle w:val="FirstParagraph"/>
      </w:pPr>
      <w:hyperlink r:id="rId209">
        <w:r>
          <w:rPr>
            <w:rStyle w:val="Hyperlink"/>
            <w:bCs/>
            <w:b/>
          </w:rPr>
          <w:t xml:space="preserve">One common liftover tool</w:t>
        </w:r>
      </w:hyperlink>
      <w:r>
        <w:t xml:space="preserve"> </w:t>
      </w:r>
      <w:r>
        <w:t xml:space="preserve">is provided by the UCSC Genome Browser.</w:t>
      </w:r>
    </w:p>
    <w:p>
      <w:r>
        <w:pict>
          <v:rect style="width:0;height:1.5pt" o:hralign="center" o:hrstd="t" o:hr="t"/>
        </w:pict>
      </w:r>
    </w:p>
    <w:p>
      <w:pPr>
        <w:pStyle w:val="FirstParagraph"/>
      </w:pPr>
      <w:r>
        <w:t xml:space="preserve">Navigate to the UCSC liftover page.</w:t>
      </w:r>
    </w:p>
    <w:p>
      <w:pPr>
        <w:numPr>
          <w:ilvl w:val="0"/>
          <w:numId w:val="1049"/>
        </w:numPr>
        <w:pStyle w:val="Compact"/>
      </w:pPr>
      <w:r>
        <w:t xml:space="preserve">Select the assemblies that you want to change coordinates between.</w:t>
      </w:r>
    </w:p>
    <w:p>
      <w:pPr>
        <w:pStyle w:val="CaptionedFigure"/>
      </w:pPr>
      <w:r>
        <w:drawing>
          <wp:inline>
            <wp:extent cx="5334000" cy="1201955"/>
            <wp:effectExtent b="0" l="0" r="0" t="0"/>
            <wp:docPr descr="Fig. 4. Selecting assemblies for liftover." title="" id="1" name="Picture"/>
            <a:graphic>
              <a:graphicData uri="http://schemas.openxmlformats.org/drawingml/2006/picture">
                <pic:pic>
                  <pic:nvPicPr>
                    <pic:cNvPr descr="04-pop_structure/images/liftover1.png" id="0" name="Picture"/>
                    <pic:cNvPicPr>
                      <a:picLocks noChangeArrowheads="1" noChangeAspect="1"/>
                    </pic:cNvPicPr>
                  </pic:nvPicPr>
                  <pic:blipFill>
                    <a:blip r:embed="rId210"/>
                    <a:stretch>
                      <a:fillRect/>
                    </a:stretch>
                  </pic:blipFill>
                  <pic:spPr bwMode="auto">
                    <a:xfrm>
                      <a:off x="0" y="0"/>
                      <a:ext cx="5334000" cy="1201955"/>
                    </a:xfrm>
                    <a:prstGeom prst="rect">
                      <a:avLst/>
                    </a:prstGeom>
                    <a:noFill/>
                    <a:ln w="9525">
                      <a:noFill/>
                      <a:headEnd/>
                      <a:tailEnd/>
                    </a:ln>
                  </pic:spPr>
                </pic:pic>
              </a:graphicData>
            </a:graphic>
          </wp:inline>
        </w:drawing>
      </w:r>
    </w:p>
    <w:p>
      <w:pPr>
        <w:pStyle w:val="ImageCaption"/>
      </w:pPr>
      <w:bookmarkStart w:id="211" w:name="fig33"/>
      <w:r>
        <w:t xml:space="preserve">Figure </w:t>
      </w:r>
      <w:fldSimple w:instr="SEQ Figure \* ARABIC ">
        <w:r>
          <w:t>33</w:t>
        </w:r>
      </w:fldSimple>
      <w:r>
        <w:t xml:space="preserve">:</w:t>
      </w:r>
      <w:r>
        <w:t xml:space="preserve"> </w:t>
      </w:r>
      <w:bookmarkEnd w:id="211"/>
      <w:r>
        <w:rPr>
          <w:bCs/>
          <w:b/>
        </w:rPr>
        <w:t xml:space="preserve">Fig. 4.</w:t>
      </w:r>
      <w:r>
        <w:t xml:space="preserve"> </w:t>
      </w:r>
      <w:r>
        <w:t xml:space="preserve">Selecting assemblies for liftover.</w:t>
      </w:r>
    </w:p>
    <w:p>
      <w:pPr>
        <w:numPr>
          <w:ilvl w:val="0"/>
          <w:numId w:val="1050"/>
        </w:numPr>
        <w:pStyle w:val="Compact"/>
      </w:pPr>
      <w:r>
        <w:t xml:space="preserve">In the box, enter the coordinates of our variant of interest. Note that we have to enter these coordinates in</w:t>
      </w:r>
      <w:r>
        <w:t xml:space="preserve"> </w:t>
      </w:r>
      <w:r>
        <w:rPr>
          <w:rStyle w:val="VerbatimChar"/>
          <w:bCs/>
          <w:b/>
        </w:rPr>
        <w:t xml:space="preserve">chr:pos-pos</w:t>
      </w:r>
      <w:r>
        <w:t xml:space="preserve"> </w:t>
      </w:r>
      <w:r>
        <w:t xml:space="preserve">format (</w:t>
      </w:r>
      <w:r>
        <w:rPr>
          <w:rStyle w:val="VerbatimChar"/>
        </w:rPr>
        <w:t xml:space="preserve">chr21:17753762-17753762</w:t>
      </w:r>
      <w:r>
        <w:t xml:space="preserve"> </w:t>
      </w:r>
      <w:r>
        <w:t xml:space="preserve">for our SNP).</w:t>
      </w:r>
      <w:r>
        <w:t xml:space="preserve"> </w:t>
      </w:r>
    </w:p>
    <w:p>
      <w:pPr>
        <w:numPr>
          <w:ilvl w:val="0"/>
          <w:numId w:val="1050"/>
        </w:numPr>
        <w:pStyle w:val="Compact"/>
      </w:pPr>
      <w:r>
        <w:t xml:space="preserve">Hit the</w:t>
      </w:r>
      <w:r>
        <w:t xml:space="preserve"> </w:t>
      </w:r>
      <w:r>
        <w:rPr>
          <w:rStyle w:val="VerbatimChar"/>
          <w:bCs/>
          <w:b/>
        </w:rPr>
        <w:t xml:space="preserve">Submit</w:t>
      </w:r>
      <w:r>
        <w:t xml:space="preserve"> </w:t>
      </w:r>
      <w:r>
        <w:t xml:space="preserve">button. This will generate a file that you can download, which will contain the hg19 coordinates of our variant.</w:t>
      </w:r>
    </w:p>
    <w:p>
      <w:pPr>
        <w:pStyle w:val="CaptionedFigure"/>
      </w:pPr>
      <w:r>
        <w:drawing>
          <wp:inline>
            <wp:extent cx="5334000" cy="2217739"/>
            <wp:effectExtent b="0" l="0" r="0" t="0"/>
            <wp:docPr descr="Fig. 5. Lifting over coordinates of one variant." title="" id="1" name="Picture"/>
            <a:graphic>
              <a:graphicData uri="http://schemas.openxmlformats.org/drawingml/2006/picture">
                <pic:pic>
                  <pic:nvPicPr>
                    <pic:cNvPr descr="04-pop_structure/images/liftover2.png" id="0" name="Picture"/>
                    <pic:cNvPicPr>
                      <a:picLocks noChangeArrowheads="1" noChangeAspect="1"/>
                    </pic:cNvPicPr>
                  </pic:nvPicPr>
                  <pic:blipFill>
                    <a:blip r:embed="rId212"/>
                    <a:stretch>
                      <a:fillRect/>
                    </a:stretch>
                  </pic:blipFill>
                  <pic:spPr bwMode="auto">
                    <a:xfrm>
                      <a:off x="0" y="0"/>
                      <a:ext cx="5334000" cy="2217739"/>
                    </a:xfrm>
                    <a:prstGeom prst="rect">
                      <a:avLst/>
                    </a:prstGeom>
                    <a:noFill/>
                    <a:ln w="9525">
                      <a:noFill/>
                      <a:headEnd/>
                      <a:tailEnd/>
                    </a:ln>
                  </pic:spPr>
                </pic:pic>
              </a:graphicData>
            </a:graphic>
          </wp:inline>
        </w:drawing>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5.</w:t>
      </w:r>
      <w:r>
        <w:t xml:space="preserve"> </w:t>
      </w:r>
      <w:r>
        <w:t xml:space="preserve">Lifting over coordinates of one variant.</w:t>
      </w:r>
    </w:p>
    <w:p>
      <w:r>
        <w:pict>
          <v:rect style="width:0;height:1.5pt" o:hralign="center" o:hrstd="t" o:hr="t"/>
        </w:pict>
      </w:r>
    </w:p>
    <w:bookmarkEnd w:id="214"/>
    <w:bookmarkStart w:id="217" w:name="viewing-gst-hits-in-ggv"/>
    <w:p>
      <w:pPr>
        <w:pStyle w:val="Heading2"/>
      </w:pPr>
      <w:r>
        <w:rPr>
          <w:rStyle w:val="SectionNumber"/>
        </w:rPr>
        <w:t xml:space="preserve">5.14</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208">
        <w:r>
          <w:rPr>
            <w:rStyle w:val="Hyperlink"/>
            <w:bCs/>
            <w:b/>
          </w:rPr>
          <w:t xml:space="preserve">GGV browser</w:t>
        </w:r>
      </w:hyperlink>
      <w:r>
        <w:t xml:space="preserve"> </w:t>
      </w:r>
      <w:r>
        <w:t xml:space="preserve">and look up the distribution of allele frequencies for this variant, using its hg19 coordinates.</w:t>
      </w:r>
    </w:p>
    <w:p>
      <w:pPr>
        <w:pStyle w:val="BodyText"/>
      </w:pPr>
      <w:r>
        <w:t xml:space="preserve">We can see that this variant is at extremely high allele frequencies in all of the African populations of 1000 Genomes, but is extremely rare outside of Africa. This suggests that it was present in the population prior to the out-of-African migration, but that most of the ancestral populations that migrated out of Africa didn’t carry it.</w:t>
      </w:r>
    </w:p>
    <w:p>
      <w:pPr>
        <w:pStyle w:val="BodyText"/>
      </w:pPr>
      <w:r>
        <w:t xml:space="preserve">Also note that two populations in the Americas also carry this variant at high frequency. These are two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6. Allele frequencies of our top GST hit." title="" id="1" name="Picture"/>
            <a:graphic>
              <a:graphicData uri="http://schemas.openxmlformats.org/drawingml/2006/picture">
                <pic:pic>
                  <pic:nvPicPr>
                    <pic:cNvPr descr="04-pop_structure/images/ggv2.png" id="0" name="Picture"/>
                    <pic:cNvPicPr>
                      <a:picLocks noChangeArrowheads="1" noChangeAspect="1"/>
                    </pic:cNvPicPr>
                  </pic:nvPicPr>
                  <pic:blipFill>
                    <a:blip r:embed="rId215"/>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6.</w:t>
      </w:r>
      <w:r>
        <w:t xml:space="preserve"> </w:t>
      </w:r>
      <w:r>
        <w:t xml:space="preserve">Allele frequencies of our top G</w:t>
      </w:r>
      <w:r>
        <w:rPr>
          <w:vertAlign w:val="subscript"/>
        </w:rPr>
        <w:t xml:space="preserve">ST</w:t>
      </w:r>
      <w:r>
        <w:t xml:space="preserve"> </w:t>
      </w:r>
      <w:r>
        <w:t xml:space="preserve">hit.</w:t>
      </w:r>
    </w:p>
    <w:bookmarkEnd w:id="217"/>
    <w:bookmarkStart w:id="221" w:name="principal-component-analysis"/>
    <w:p>
      <w:pPr>
        <w:pStyle w:val="Heading2"/>
      </w:pPr>
      <w:r>
        <w:rPr>
          <w:rStyle w:val="SectionNumber"/>
        </w:rPr>
        <w:t xml:space="preserve">5.15</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51"/>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51"/>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51"/>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1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1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20" w:name="fig36"/>
      <w:r>
        <w:t xml:space="preserve">Figure </w:t>
      </w:r>
      <w:fldSimple w:instr="SEQ Figure \* ARABIC ">
        <w:r>
          <w:t>36</w:t>
        </w:r>
      </w:fldSimple>
      <w:r>
        <w:t xml:space="preserve">:</w:t>
      </w:r>
      <w:r>
        <w:t xml:space="preserve"> </w:t>
      </w:r>
      <w:bookmarkEnd w:id="220"/>
      <w:r>
        <w:rPr>
          <w:bCs/>
          <w:b/>
        </w:rPr>
        <w:t xml:space="preserve">Fig. 7.</w:t>
      </w:r>
      <w:r>
        <w:t xml:space="preserve"> </w:t>
      </w:r>
      <w:r>
        <w:t xml:space="preserve">A PCA plot that simplifies three-dimensional data into two dimensions.</w:t>
      </w:r>
    </w:p>
    <w:bookmarkEnd w:id="221"/>
    <w:bookmarkStart w:id="222" w:name="reformatting-data-for-pca"/>
    <w:p>
      <w:pPr>
        <w:pStyle w:val="Heading2"/>
      </w:pPr>
      <w:r>
        <w:rPr>
          <w:rStyle w:val="SectionNumber"/>
        </w:rPr>
        <w:t xml:space="preserve">5.16</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2"/>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2"/>
        </w:numPr>
        <w:pStyle w:val="Compact"/>
      </w:pPr>
      <w:r>
        <w:t xml:space="preserve">Convert the genotypes into numeric values, where</w:t>
      </w:r>
    </w:p>
    <w:p>
      <w:pPr>
        <w:numPr>
          <w:ilvl w:val="1"/>
          <w:numId w:val="1053"/>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3"/>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3"/>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3"/>
        </w:numPr>
        <w:pStyle w:val="Compact"/>
      </w:pPr>
      <w:r>
        <w:t xml:space="preserve">These values also represent the number of alternative alleles that an individual carries.</w:t>
      </w:r>
    </w:p>
    <w:p>
      <w:pPr>
        <w:numPr>
          <w:ilvl w:val="0"/>
          <w:numId w:val="1052"/>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22"/>
    <w:bookmarkStart w:id="223" w:name="performing-pca"/>
    <w:p>
      <w:pPr>
        <w:pStyle w:val="Heading2"/>
      </w:pPr>
      <w:r>
        <w:rPr>
          <w:rStyle w:val="SectionNumber"/>
        </w:rPr>
        <w:t xml:space="preserve">5.17</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4"/>
        </w:numPr>
        <w:pStyle w:val="Compact"/>
      </w:pPr>
      <w:r>
        <w:rPr>
          <w:rStyle w:val="VerbatimChar"/>
        </w:rPr>
        <w:t xml:space="preserve">sdev</w:t>
      </w:r>
      <w:r>
        <w:t xml:space="preserve">: standard deviations of the principle components</w:t>
      </w:r>
    </w:p>
    <w:p>
      <w:pPr>
        <w:numPr>
          <w:ilvl w:val="0"/>
          <w:numId w:val="1054"/>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4"/>
        </w:numPr>
        <w:pStyle w:val="Compact"/>
      </w:pPr>
      <w:r>
        <w:rPr>
          <w:rStyle w:val="VerbatimChar"/>
        </w:rPr>
        <w:t xml:space="preserve">x</w:t>
      </w:r>
      <w:r>
        <w:t xml:space="preserve">: coordinates of the data objects (the 1000 Genomes individuals) on each PC</w:t>
      </w:r>
    </w:p>
    <w:bookmarkEnd w:id="223"/>
    <w:bookmarkStart w:id="224" w:name="reformatting-pca-output"/>
    <w:p>
      <w:pPr>
        <w:pStyle w:val="Heading2"/>
      </w:pPr>
      <w:r>
        <w:rPr>
          <w:rStyle w:val="SectionNumber"/>
        </w:rPr>
        <w:t xml:space="preserve">5.18</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24"/>
    <w:bookmarkStart w:id="227" w:name="pca-plot"/>
    <w:p>
      <w:pPr>
        <w:pStyle w:val="Heading2"/>
      </w:pPr>
      <w:r>
        <w:rPr>
          <w:rStyle w:val="SectionNumber"/>
        </w:rPr>
        <w:t xml:space="preserve">5.19</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27"/>
    <w:bookmarkStart w:id="230" w:name="proportion-of-variance-explained"/>
    <w:p>
      <w:pPr>
        <w:pStyle w:val="Heading2"/>
      </w:pPr>
      <w:r>
        <w:rPr>
          <w:rStyle w:val="SectionNumber"/>
        </w:rPr>
        <w:t xml:space="preserve">5.20</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30"/>
    <w:bookmarkStart w:id="231" w:name="conclusion-3"/>
    <w:p>
      <w:pPr>
        <w:pStyle w:val="Heading2"/>
      </w:pPr>
      <w:r>
        <w:rPr>
          <w:rStyle w:val="SectionNumber"/>
        </w:rPr>
        <w:t xml:space="preserve">5.21</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5"/>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5"/>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5"/>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5"/>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5"/>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31"/>
    <w:bookmarkStart w:id="233" w:name="homework-4"/>
    <w:p>
      <w:pPr>
        <w:pStyle w:val="Heading2"/>
      </w:pPr>
      <w:r>
        <w:rPr>
          <w:rStyle w:val="SectionNumber"/>
        </w:rPr>
        <w:t xml:space="preserve">5.22</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32" w:name="goals-learning-objectives-3"/>
    <w:p>
      <w:pPr>
        <w:pStyle w:val="Heading4"/>
      </w:pPr>
      <w:r>
        <w:rPr>
          <w:rStyle w:val="SectionNumber"/>
        </w:rPr>
        <w:t xml:space="preserve">5.22.0.1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6"/>
        </w:numPr>
        <w:pStyle w:val="Compact"/>
      </w:pPr>
      <w:r>
        <w:t xml:space="preserve">Required homework: Practice performing and interpreting PCA</w:t>
      </w:r>
    </w:p>
    <w:p>
      <w:pPr>
        <w:numPr>
          <w:ilvl w:val="0"/>
          <w:numId w:val="1056"/>
        </w:numPr>
        <w:pStyle w:val="Compact"/>
      </w:pPr>
      <w:r>
        <w:t xml:space="preserve">Optional homework: Practice performing PCA and reading code</w:t>
      </w:r>
    </w:p>
    <w:bookmarkEnd w:id="232"/>
    <w:bookmarkEnd w:id="233"/>
    <w:bookmarkStart w:id="236" w:name="required-homework-3"/>
    <w:p>
      <w:pPr>
        <w:pStyle w:val="Heading2"/>
      </w:pPr>
      <w:r>
        <w:rPr>
          <w:rStyle w:val="SectionNumber"/>
        </w:rPr>
        <w:t xml:space="preserve">5.23</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2.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36"/>
    <w:bookmarkStart w:id="242" w:name="optional-homework-1"/>
    <w:p>
      <w:pPr>
        <w:pStyle w:val="Heading2"/>
      </w:pPr>
      <w:r>
        <w:rPr>
          <w:rStyle w:val="SectionNumber"/>
        </w:rPr>
        <w:t xml:space="preserve">5.24</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37" w:name="prepare-unknown-vcf-for-pca"/>
    <w:p>
      <w:pPr>
        <w:pStyle w:val="Heading4"/>
      </w:pPr>
      <w:r>
        <w:rPr>
          <w:rStyle w:val="SectionNumber"/>
        </w:rPr>
        <w:t xml:space="preserve">5.24.0.1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37"/>
    <w:bookmarkStart w:id="241" w:name="predict-pca-placement-of-unknown-sample"/>
    <w:p>
      <w:pPr>
        <w:pStyle w:val="Heading4"/>
      </w:pPr>
      <w:r>
        <w:rPr>
          <w:rStyle w:val="SectionNumber"/>
        </w:rPr>
        <w:t xml:space="preserve">5.24.0.2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2.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4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41"/>
    <w:bookmarkEnd w:id="242"/>
    <w:bookmarkEnd w:id="243"/>
    <w:bookmarkStart w:id="282"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44"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7"/>
        </w:numPr>
        <w:pStyle w:val="Compact"/>
      </w:pPr>
      <w:r>
        <w:t xml:space="preserve">Explain the statistical method that underlies GWAS.</w:t>
      </w:r>
    </w:p>
    <w:p>
      <w:pPr>
        <w:numPr>
          <w:ilvl w:val="0"/>
          <w:numId w:val="1057"/>
        </w:numPr>
        <w:pStyle w:val="Compact"/>
      </w:pPr>
      <w:r>
        <w:t xml:space="preserve">Describe the statistical challenges of GWAS.</w:t>
      </w:r>
    </w:p>
    <w:p>
      <w:pPr>
        <w:numPr>
          <w:ilvl w:val="0"/>
          <w:numId w:val="1057"/>
        </w:numPr>
        <w:pStyle w:val="Compact"/>
      </w:pPr>
      <w:r>
        <w:t xml:space="preserve">Understand how linkage disequilibrium helps and hinders GWAS.</w:t>
      </w:r>
    </w:p>
    <w:p>
      <w:pPr>
        <w:numPr>
          <w:ilvl w:val="0"/>
          <w:numId w:val="1057"/>
        </w:numPr>
        <w:pStyle w:val="Compact"/>
      </w:pPr>
      <w:r>
        <w:t xml:space="preserve">Interpret common GWAS plots and summary statistics.</w:t>
      </w:r>
    </w:p>
    <w:bookmarkEnd w:id="244"/>
    <w:bookmarkStart w:id="247"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8"/>
        </w:numPr>
        <w:pStyle w:val="Compact"/>
      </w:pPr>
      <w:r>
        <w:t xml:space="preserve">Go through every variant in the genome</w:t>
      </w:r>
    </w:p>
    <w:p>
      <w:pPr>
        <w:numPr>
          <w:ilvl w:val="0"/>
          <w:numId w:val="1058"/>
        </w:numPr>
        <w:pStyle w:val="Compact"/>
      </w:pPr>
      <w:r>
        <w:t xml:space="preserve">Ask if its allele frequency differs between individuals who have or don’t have a phenotype of interest</w:t>
      </w:r>
    </w:p>
    <w:p>
      <w:pPr>
        <w:numPr>
          <w:ilvl w:val="1"/>
          <w:numId w:val="1059"/>
        </w:numPr>
        <w:pStyle w:val="Compact"/>
      </w:pPr>
      <w:r>
        <w:t xml:space="preserve">For most variants (</w:t>
      </w:r>
      <w:r>
        <w:rPr>
          <w:bCs/>
          <w:b/>
        </w:rPr>
        <w:t xml:space="preserve">Fig. 1</w:t>
      </w:r>
      <w:r>
        <w:t xml:space="preserve">, SNP 1), there will be very little difference</w:t>
      </w:r>
    </w:p>
    <w:p>
      <w:pPr>
        <w:numPr>
          <w:ilvl w:val="0"/>
          <w:numId w:val="1058"/>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45"/>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46" w:name="fig37"/>
      <w:r>
        <w:t xml:space="preserve">Figure </w:t>
      </w:r>
      <w:fldSimple w:instr="SEQ Figure \* ARABIC ">
        <w:r>
          <w:t>37</w:t>
        </w:r>
      </w:fldSimple>
      <w:r>
        <w:t xml:space="preserve">:</w:t>
      </w:r>
      <w:r>
        <w:t xml:space="preserve"> </w:t>
      </w:r>
      <w:bookmarkEnd w:id="246"/>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47"/>
    <w:bookmarkStart w:id="252"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48">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49"/>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50" w:name="fig38"/>
      <w:r>
        <w:t xml:space="preserve">Figure </w:t>
      </w:r>
      <w:fldSimple w:instr="SEQ Figure \* ARABIC ">
        <w:r>
          <w:t>38</w:t>
        </w:r>
      </w:fldSimple>
      <w:r>
        <w:t xml:space="preserve">:</w:t>
      </w:r>
      <w:r>
        <w:t xml:space="preserve"> </w:t>
      </w:r>
      <w:bookmarkEnd w:id="250"/>
      <w:r>
        <w:rPr>
          <w:bCs/>
          <w:b/>
        </w:rPr>
        <w:t xml:space="preserve">Fig. 2 (</w:t>
      </w:r>
      <w:hyperlink r:id="rId251">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52"/>
    <w:bookmarkStart w:id="255"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6-1.png" id="0"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54">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55"/>
    <w:bookmarkStart w:id="258"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56"/>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57" w:name="fig39"/>
      <w:r>
        <w:t xml:space="preserve">Figure </w:t>
      </w:r>
      <w:fldSimple w:instr="SEQ Figure \* ARABIC ">
        <w:r>
          <w:t>39</w:t>
        </w:r>
      </w:fldSimple>
      <w:r>
        <w:t xml:space="preserve">:</w:t>
      </w:r>
      <w:r>
        <w:t xml:space="preserve"> </w:t>
      </w:r>
      <w:bookmarkEnd w:id="257"/>
      <w:r>
        <w:rPr>
          <w:bCs/>
          <w:b/>
        </w:rPr>
        <w:t xml:space="preserve">Fig. 3 (</w:t>
      </w:r>
      <w:hyperlink r:id="rId251">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58"/>
    <w:bookmarkStart w:id="261"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60"/>
        </w:numPr>
        <w:pStyle w:val="Compact"/>
      </w:pPr>
      <w:r>
        <w:t xml:space="preserve">Genotype individuals using the sequencing data you have (</w:t>
      </w:r>
      <w:r>
        <w:rPr>
          <w:bCs/>
          <w:b/>
        </w:rPr>
        <w:t xml:space="preserve">Fig. 4A</w:t>
      </w:r>
      <w:r>
        <w:t xml:space="preserve">)</w:t>
      </w:r>
    </w:p>
    <w:p>
      <w:pPr>
        <w:numPr>
          <w:ilvl w:val="0"/>
          <w:numId w:val="1060"/>
        </w:numPr>
        <w:pStyle w:val="Compact"/>
      </w:pPr>
      <w:r>
        <w:t xml:space="preserve">Use a reference panel of haplotypes to fill in variants you didn’t genotype (</w:t>
      </w:r>
      <w:r>
        <w:rPr>
          <w:bCs/>
          <w:b/>
        </w:rPr>
        <w:t xml:space="preserve">Fig. 4B</w:t>
      </w:r>
      <w:r>
        <w:t xml:space="preserve">)</w:t>
      </w:r>
    </w:p>
    <w:p>
      <w:pPr>
        <w:numPr>
          <w:ilvl w:val="0"/>
          <w:numId w:val="1060"/>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59"/>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60" w:name="fig40"/>
      <w:r>
        <w:t xml:space="preserve">Figure </w:t>
      </w:r>
      <w:fldSimple w:instr="SEQ Figure \* ARABIC ">
        <w:r>
          <w:t>40</w:t>
        </w:r>
      </w:fldSimple>
      <w:r>
        <w:t xml:space="preserve">:</w:t>
      </w:r>
      <w:r>
        <w:t xml:space="preserve"> </w:t>
      </w:r>
      <w:bookmarkEnd w:id="260"/>
      <w:r>
        <w:rPr>
          <w:bCs/>
          <w:b/>
        </w:rPr>
        <w:t xml:space="preserve">Fig. 4 (</w:t>
      </w:r>
      <w:hyperlink r:id="rId251">
        <w:r>
          <w:rPr>
            <w:rStyle w:val="Hyperlink"/>
            <w:bCs/>
            <w:b/>
          </w:rPr>
          <w:t xml:space="preserve">source</w:t>
        </w:r>
      </w:hyperlink>
      <w:r>
        <w:rPr>
          <w:bCs/>
          <w:b/>
        </w:rPr>
        <w:t xml:space="preserve">).</w:t>
      </w:r>
      <w:r>
        <w:t xml:space="preserve"> </w:t>
      </w:r>
      <w:r>
        <w:t xml:space="preserve">Imputing variants that were not actually sequenced.</w:t>
      </w:r>
    </w:p>
    <w:bookmarkEnd w:id="261"/>
    <w:bookmarkStart w:id="264"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61"/>
        </w:numPr>
        <w:pStyle w:val="Compact"/>
      </w:pPr>
      <w:r>
        <w:t xml:space="preserve">Generate simulated p-values from a uniform distribution – the number of simulated p-values should equal the number of actual p-values</w:t>
      </w:r>
    </w:p>
    <w:p>
      <w:pPr>
        <w:numPr>
          <w:ilvl w:val="0"/>
          <w:numId w:val="1061"/>
        </w:numPr>
        <w:pStyle w:val="Compact"/>
      </w:pPr>
      <w:r>
        <w:t xml:space="preserve">Sort both your real and simulated p-values in descending order</w:t>
      </w:r>
    </w:p>
    <w:p>
      <w:pPr>
        <w:numPr>
          <w:ilvl w:val="0"/>
          <w:numId w:val="1061"/>
        </w:numPr>
        <w:pStyle w:val="Compact"/>
      </w:pPr>
      <w:r>
        <w:t xml:space="preserve">Plot the first, second, third, etc. p-values, where</w:t>
      </w:r>
    </w:p>
    <w:p>
      <w:pPr>
        <w:numPr>
          <w:ilvl w:val="1"/>
          <w:numId w:val="1062"/>
        </w:numPr>
        <w:pStyle w:val="Compact"/>
      </w:pPr>
      <w:r>
        <w:t xml:space="preserve">x-axis is the simulated value</w:t>
      </w:r>
    </w:p>
    <w:p>
      <w:pPr>
        <w:numPr>
          <w:ilvl w:val="1"/>
          <w:numId w:val="1062"/>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62"/>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63" w:name="fig41"/>
      <w:r>
        <w:t xml:space="preserve">Figure </w:t>
      </w:r>
      <w:fldSimple w:instr="SEQ Figure \* ARABIC ">
        <w:r>
          <w:t>41</w:t>
        </w:r>
      </w:fldSimple>
      <w:r>
        <w:t xml:space="preserve">:</w:t>
      </w:r>
      <w:r>
        <w:t xml:space="preserve"> </w:t>
      </w:r>
      <w:bookmarkEnd w:id="263"/>
      <w:r>
        <w:rPr>
          <w:bCs/>
          <w:b/>
        </w:rPr>
        <w:t xml:space="preserve">Fig. 5 (</w:t>
      </w:r>
      <w:hyperlink r:id="rId251">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3"/>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3"/>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3"/>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64"/>
    <w:bookmarkStart w:id="267"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65"/>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66" w:name="fig42"/>
      <w:r>
        <w:t xml:space="preserve">Figure </w:t>
      </w:r>
      <w:fldSimple w:instr="SEQ Figure \* ARABIC ">
        <w:r>
          <w:t>42</w:t>
        </w:r>
      </w:fldSimple>
      <w:r>
        <w:t xml:space="preserve">:</w:t>
      </w:r>
      <w:r>
        <w:t xml:space="preserve"> </w:t>
      </w:r>
      <w:bookmarkEnd w:id="26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67"/>
    <w:bookmarkStart w:id="271"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68"/>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69" w:name="fig43"/>
      <w:r>
        <w:t xml:space="preserve">Figure </w:t>
      </w:r>
      <w:fldSimple w:instr="SEQ Figure \* ARABIC ">
        <w:r>
          <w:t>43</w:t>
        </w:r>
      </w:fldSimple>
      <w:r>
        <w:t xml:space="preserve">:</w:t>
      </w:r>
      <w:r>
        <w:t xml:space="preserve"> </w:t>
      </w:r>
      <w:bookmarkEnd w:id="269"/>
      <w:r>
        <w:rPr>
          <w:bCs/>
          <w:b/>
        </w:rPr>
        <w:t xml:space="preserve">Fig. 7 (</w:t>
      </w:r>
      <w:hyperlink r:id="rId270">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4"/>
        </w:numPr>
        <w:pStyle w:val="Compact"/>
      </w:pPr>
      <w:r>
        <w:t xml:space="preserve">A larger dataset captures more</w:t>
      </w:r>
      <w:r>
        <w:t xml:space="preserve"> </w:t>
      </w:r>
      <w:r>
        <w:rPr>
          <w:bCs/>
          <w:b/>
        </w:rPr>
        <w:t xml:space="preserve">rare variation</w:t>
      </w:r>
    </w:p>
    <w:p>
      <w:pPr>
        <w:numPr>
          <w:ilvl w:val="0"/>
          <w:numId w:val="1064"/>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71"/>
    <w:bookmarkStart w:id="276"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72">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73">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74"/>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75" w:name="fig44"/>
      <w:r>
        <w:t xml:space="preserve">Figure </w:t>
      </w:r>
      <w:fldSimple w:instr="SEQ Figure \* ARABIC ">
        <w:r>
          <w:t>44</w:t>
        </w:r>
      </w:fldSimple>
      <w:r>
        <w:t xml:space="preserve">:</w:t>
      </w:r>
      <w:r>
        <w:t xml:space="preserve"> </w:t>
      </w:r>
      <w:bookmarkEnd w:id="275"/>
      <w:r>
        <w:rPr>
          <w:bCs/>
          <w:b/>
        </w:rPr>
        <w:t xml:space="preserve">Fig. 8.</w:t>
      </w:r>
      <w:r>
        <w:t xml:space="preserve"> </w:t>
      </w:r>
      <w:r>
        <w:t xml:space="preserve">GWAS results for standing height.</w:t>
      </w:r>
    </w:p>
    <w:p>
      <w:pPr>
        <w:numPr>
          <w:ilvl w:val="0"/>
          <w:numId w:val="1065"/>
        </w:numPr>
        <w:pStyle w:val="Compact"/>
      </w:pPr>
      <w:r>
        <w:t xml:space="preserve">For each phenotype, the browser shows a Manhattan plot of associated variants</w:t>
      </w:r>
    </w:p>
    <w:p>
      <w:pPr>
        <w:numPr>
          <w:ilvl w:val="0"/>
          <w:numId w:val="1065"/>
        </w:numPr>
        <w:pStyle w:val="Compact"/>
      </w:pPr>
      <w:r>
        <w:t xml:space="preserve">The top p-values for this trait look extremely significant</w:t>
      </w:r>
    </w:p>
    <w:p>
      <w:pPr>
        <w:numPr>
          <w:ilvl w:val="0"/>
          <w:numId w:val="1065"/>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76"/>
    <w:bookmarkStart w:id="277"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6"/>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6"/>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6"/>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6"/>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77"/>
    <w:bookmarkStart w:id="281" w:name="homework-5"/>
    <w:p>
      <w:pPr>
        <w:pStyle w:val="Heading2"/>
      </w:pPr>
      <w:r>
        <w:rPr>
          <w:rStyle w:val="SectionNumber"/>
        </w:rPr>
        <w:t xml:space="preserve">6.11</w:t>
      </w:r>
      <w:r>
        <w:tab/>
      </w:r>
      <w:r>
        <w:t xml:space="preserve">Homework</w:t>
      </w:r>
    </w:p>
    <w:bookmarkStart w:id="278" w:name="learning-objectives-5"/>
    <w:p>
      <w:pPr>
        <w:pStyle w:val="Heading4"/>
      </w:pPr>
      <w:r>
        <w:rPr>
          <w:rStyle w:val="SectionNumber"/>
        </w:rPr>
        <w:t xml:space="preserve">6.11.0.1</w:t>
      </w:r>
      <w:r>
        <w:tab/>
      </w:r>
      <w:r>
        <w:t xml:space="preserve">Learning Objectives</w:t>
      </w:r>
    </w:p>
    <w:p>
      <w:pPr>
        <w:numPr>
          <w:ilvl w:val="0"/>
          <w:numId w:val="1067"/>
        </w:numPr>
        <w:pStyle w:val="Compact"/>
      </w:pPr>
      <w:r>
        <w:t xml:space="preserve">Interpret the summary statistics typically reported in GWAS studies</w:t>
      </w:r>
    </w:p>
    <w:p>
      <w:pPr>
        <w:numPr>
          <w:ilvl w:val="0"/>
          <w:numId w:val="1067"/>
        </w:numPr>
        <w:pStyle w:val="Compact"/>
      </w:pPr>
      <w:r>
        <w:t xml:space="preserve">Understand the limitations and biases of GWAS</w:t>
      </w:r>
    </w:p>
    <w:bookmarkEnd w:id="278"/>
    <w:bookmarkStart w:id="280"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8"/>
        </w:numPr>
        <w:pStyle w:val="Compact"/>
      </w:pPr>
      <w:r>
        <w:t xml:space="preserve">Phenotype being studied</w:t>
      </w:r>
    </w:p>
    <w:p>
      <w:pPr>
        <w:numPr>
          <w:ilvl w:val="0"/>
          <w:numId w:val="1068"/>
        </w:numPr>
        <w:pStyle w:val="Compact"/>
      </w:pPr>
      <w:r>
        <w:t xml:space="preserve">Sample size</w:t>
      </w:r>
    </w:p>
    <w:p>
      <w:pPr>
        <w:numPr>
          <w:ilvl w:val="0"/>
          <w:numId w:val="1068"/>
        </w:numPr>
        <w:pStyle w:val="Compact"/>
      </w:pPr>
      <w:r>
        <w:t xml:space="preserve">Population being studied (homogeneous? Multi-ethnic? If it’s multi-ethnic, how do they correct for the effect of ancestry?)</w:t>
      </w:r>
    </w:p>
    <w:p>
      <w:pPr>
        <w:numPr>
          <w:ilvl w:val="0"/>
          <w:numId w:val="1068"/>
        </w:numPr>
        <w:pStyle w:val="Compact"/>
      </w:pPr>
      <w:r>
        <w:t xml:space="preserve">For the top asssociation:</w:t>
      </w:r>
    </w:p>
    <w:p>
      <w:pPr>
        <w:numPr>
          <w:ilvl w:val="1"/>
          <w:numId w:val="1069"/>
        </w:numPr>
        <w:pStyle w:val="Compact"/>
      </w:pPr>
      <w:r>
        <w:t xml:space="preserve">p-value (would you call it significant genome wide?)</w:t>
      </w:r>
    </w:p>
    <w:p>
      <w:pPr>
        <w:numPr>
          <w:ilvl w:val="1"/>
          <w:numId w:val="1069"/>
        </w:numPr>
        <w:pStyle w:val="Compact"/>
      </w:pPr>
      <w:r>
        <w:t xml:space="preserve">Effect size</w:t>
      </w:r>
    </w:p>
    <w:p>
      <w:pPr>
        <w:numPr>
          <w:ilvl w:val="1"/>
          <w:numId w:val="1069"/>
        </w:numPr>
        <w:pStyle w:val="Compact"/>
      </w:pPr>
      <w:r>
        <w:t xml:space="preserve">Did the authors replicate the result in an independent cohort?</w:t>
      </w:r>
    </w:p>
    <w:p>
      <w:pPr>
        <w:numPr>
          <w:ilvl w:val="1"/>
          <w:numId w:val="1069"/>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79">
        <w:r>
          <w:rPr>
            <w:rStyle w:val="Hyperlink"/>
          </w:rPr>
          <w:t xml:space="preserve">Genome-wide analysis identifies genetic effects on reproductive success and ongoing natural selection at the FADS locus</w:t>
        </w:r>
      </w:hyperlink>
      <w:r>
        <w:t xml:space="preserve">.</w:t>
      </w:r>
    </w:p>
    <w:p>
      <w:pPr>
        <w:numPr>
          <w:ilvl w:val="0"/>
          <w:numId w:val="1070"/>
        </w:numPr>
        <w:pStyle w:val="Compact"/>
      </w:pPr>
      <w:r>
        <w:rPr>
          <w:bCs/>
          <w:b/>
        </w:rPr>
        <w:t xml:space="preserve">Phenotype:</w:t>
      </w:r>
      <w:r>
        <w:t xml:space="preserve"> </w:t>
      </w:r>
      <w:r>
        <w:t xml:space="preserve">Number of children ever born</w:t>
      </w:r>
    </w:p>
    <w:p>
      <w:pPr>
        <w:numPr>
          <w:ilvl w:val="0"/>
          <w:numId w:val="1070"/>
        </w:numPr>
        <w:pStyle w:val="Compact"/>
      </w:pPr>
      <w:r>
        <w:rPr>
          <w:bCs/>
          <w:b/>
        </w:rPr>
        <w:t xml:space="preserve">Sample size:</w:t>
      </w:r>
      <w:r>
        <w:t xml:space="preserve">: 785,604</w:t>
      </w:r>
    </w:p>
    <w:p>
      <w:pPr>
        <w:numPr>
          <w:ilvl w:val="0"/>
          <w:numId w:val="1070"/>
        </w:numPr>
        <w:pStyle w:val="Compact"/>
      </w:pPr>
      <w:r>
        <w:rPr>
          <w:bCs/>
          <w:b/>
        </w:rPr>
        <w:t xml:space="preserve">Population</w:t>
      </w:r>
      <w:r>
        <w:t xml:space="preserve">: European; no population structure correction (but did control for family structure)</w:t>
      </w:r>
    </w:p>
    <w:p>
      <w:pPr>
        <w:numPr>
          <w:ilvl w:val="0"/>
          <w:numId w:val="1070"/>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71"/>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71"/>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71"/>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71"/>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0"/>
    <w:bookmarkEnd w:id="281"/>
    <w:bookmarkEnd w:id="282"/>
    <w:bookmarkStart w:id="290"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283">
              <w:r>
                <w:rPr>
                  <w:rStyle w:val="Hyperlink"/>
                </w:rPr>
                <w:t xml:space="preserve">Rajiv McCoy</w:t>
              </w:r>
            </w:hyperlink>
          </w:p>
        </w:tc>
      </w:tr>
      <w:tr>
        <w:tc>
          <w:tcPr/>
          <w:p>
            <w:pPr>
              <w:pStyle w:val="Compact"/>
              <w:jc w:val="left"/>
            </w:pPr>
            <w:r>
              <w:t xml:space="preserve">Content Author</w:t>
            </w:r>
          </w:p>
        </w:tc>
        <w:tc>
          <w:tcPr/>
          <w:p>
            <w:pPr>
              <w:pStyle w:val="Compact"/>
              <w:jc w:val="left"/>
            </w:pPr>
            <w:hyperlink r:id="rId284">
              <w:r>
                <w:rPr>
                  <w:rStyle w:val="Hyperlink"/>
                </w:rPr>
                <w:t xml:space="preserve">Stephanie Yan</w:t>
              </w:r>
            </w:hyperlink>
          </w:p>
        </w:tc>
      </w:tr>
      <w:tr>
        <w:tc>
          <w:tcPr/>
          <w:p>
            <w:pPr>
              <w:pStyle w:val="Compact"/>
              <w:jc w:val="left"/>
            </w:pPr>
            <w:r>
              <w:t xml:space="preserve">Content Author</w:t>
            </w:r>
          </w:p>
        </w:tc>
        <w:tc>
          <w:tcPr/>
          <w:p>
            <w:pPr>
              <w:pStyle w:val="Compact"/>
              <w:jc w:val="left"/>
            </w:pPr>
            <w:hyperlink r:id="rId285">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286">
              <w:r>
                <w:rPr>
                  <w:rStyle w:val="Hyperlink"/>
                </w:rPr>
                <w:t xml:space="preserve">Jeff Leek</w:t>
              </w:r>
            </w:hyperlink>
            <w:r>
              <w:t xml:space="preserve"> </w:t>
            </w:r>
            <w:r>
              <w:t xml:space="preserve">&amp;</w:t>
            </w:r>
            <w:r>
              <w:t xml:space="preserve"> </w:t>
            </w:r>
            <w:hyperlink r:id="rId287">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288">
              <w:r>
                <w:rPr>
                  <w:rStyle w:val="Hyperlink"/>
                </w:rPr>
                <w:t xml:space="preserve">Ali Madooei</w:t>
              </w:r>
            </w:hyperlink>
            <w:r>
              <w:t xml:space="preserve"> </w:t>
            </w:r>
            <w:r>
              <w:t xml:space="preserve">&amp;</w:t>
            </w:r>
            <w:r>
              <w:t xml:space="preserve"> </w:t>
            </w:r>
            <w:hyperlink r:id="rId289">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2023-03-10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3.6.0    2023-01-09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0.5.4    2022-12-07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2023-03-10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2023-03-10 [1] Github (jhudsl/ottrpal@151e412)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1.0.6    2022-09-24 [1] CRAN (R 4.0.2)                    </w:t>
      </w:r>
      <w:r>
        <w:br/>
      </w:r>
      <w:r>
        <w:rPr>
          <w:rStyle w:val="VerbatimChar"/>
        </w:rPr>
        <w:t xml:space="preserve">##  rmarkdown     2.10     2023-03-10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rvest         1.0.1    2023-03-10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2023-03-10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0.5.2    2023-01-23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2023-03-10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9" Target="media/rId21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245" Target="media/rId245.jpg" /><Relationship Type="http://schemas.openxmlformats.org/officeDocument/2006/relationships/image" Id="rId274" Target="media/rId274.png" /><Relationship Type="http://schemas.openxmlformats.org/officeDocument/2006/relationships/image" Id="rId259" Target="media/rId259.jpg" /><Relationship Type="http://schemas.openxmlformats.org/officeDocument/2006/relationships/image" Id="rId256" Target="media/rId256.jpg" /><Relationship Type="http://schemas.openxmlformats.org/officeDocument/2006/relationships/image" Id="rId265" Target="media/rId265.jpg" /><Relationship Type="http://schemas.openxmlformats.org/officeDocument/2006/relationships/image" Id="rId262" Target="media/rId262.jpg" /><Relationship Type="http://schemas.openxmlformats.org/officeDocument/2006/relationships/image" Id="rId249" Target="media/rId249.jpg" /><Relationship Type="http://schemas.openxmlformats.org/officeDocument/2006/relationships/image" Id="rId268" Target="media/rId268.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53" Target="media/rId253.png" /><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89" Target="https://cs226sp22.github.io/" TargetMode="External" /><Relationship Type="http://schemas.openxmlformats.org/officeDocument/2006/relationships/hyperlink" Id="rId28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87"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86" Target="https://jtleek.com/" TargetMode="External" /><Relationship Type="http://schemas.openxmlformats.org/officeDocument/2006/relationships/hyperlink" Id="rId285"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84"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89" Target="https://cs226sp22.github.io/" TargetMode="External" /><Relationship Type="http://schemas.openxmlformats.org/officeDocument/2006/relationships/hyperlink" Id="rId28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87"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86" Target="https://jtleek.com/" TargetMode="External" /><Relationship Type="http://schemas.openxmlformats.org/officeDocument/2006/relationships/hyperlink" Id="rId285"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84"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2023-03-14T06:59:09Z</dcterms:created>
  <dcterms:modified xsi:type="dcterms:W3CDTF">2023-03-14T06:59:09Z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